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98" w:rsidRDefault="00FE2383" w:rsidP="00FE2383">
      <w:pPr>
        <w:jc w:val="center"/>
        <w:rPr>
          <w:rFonts w:cs="Arial"/>
          <w:b/>
          <w:color w:val="000000" w:themeColor="text1"/>
          <w:lang w:val="en-US"/>
        </w:rPr>
      </w:pPr>
      <w:r w:rsidRPr="00310673">
        <w:rPr>
          <w:rFonts w:cs="Arial"/>
          <w:b/>
          <w:color w:val="000000" w:themeColor="text1"/>
          <w:lang w:val="en-US"/>
        </w:rPr>
        <w:t xml:space="preserve">TERMS OF REFERENCE </w:t>
      </w:r>
    </w:p>
    <w:p w:rsidR="00FE2383" w:rsidRPr="00310673" w:rsidRDefault="00D40F98" w:rsidP="00FE2383">
      <w:pPr>
        <w:jc w:val="center"/>
        <w:rPr>
          <w:rFonts w:cs="Arial"/>
          <w:b/>
          <w:color w:val="000000" w:themeColor="text1"/>
          <w:lang w:val="en-US"/>
        </w:rPr>
      </w:pPr>
      <w:r w:rsidRPr="00310673">
        <w:rPr>
          <w:rFonts w:cs="Arial"/>
          <w:b/>
          <w:color w:val="000000" w:themeColor="text1"/>
          <w:lang w:val="en-US"/>
        </w:rPr>
        <w:t xml:space="preserve">VOLUNTEER </w:t>
      </w:r>
      <w:r>
        <w:rPr>
          <w:rFonts w:cs="Arial"/>
          <w:b/>
          <w:color w:val="000000" w:themeColor="text1"/>
          <w:lang w:val="en-US"/>
        </w:rPr>
        <w:t xml:space="preserve">TO SUPPORT </w:t>
      </w:r>
      <w:r w:rsidR="00E6434E" w:rsidRPr="00310673">
        <w:rPr>
          <w:rFonts w:cs="Arial"/>
          <w:b/>
          <w:color w:val="000000" w:themeColor="text1"/>
          <w:lang w:val="en-US"/>
        </w:rPr>
        <w:t xml:space="preserve">THE </w:t>
      </w:r>
      <w:r w:rsidR="007C399E" w:rsidRPr="00310673">
        <w:rPr>
          <w:rFonts w:cs="Arial"/>
          <w:b/>
          <w:color w:val="000000" w:themeColor="text1"/>
          <w:lang w:val="en-US"/>
        </w:rPr>
        <w:t xml:space="preserve">FUJI VISION AID MISSION </w:t>
      </w:r>
    </w:p>
    <w:p w:rsidR="000A0163" w:rsidRPr="00310673" w:rsidRDefault="007C399E" w:rsidP="00637745">
      <w:pPr>
        <w:spacing w:before="120" w:after="0"/>
        <w:rPr>
          <w:rFonts w:cs="Arial"/>
          <w:b/>
          <w:color w:val="000000" w:themeColor="text1"/>
          <w:lang w:val="en-US"/>
        </w:rPr>
      </w:pPr>
      <w:r w:rsidRPr="00310673">
        <w:rPr>
          <w:rFonts w:cs="Arial"/>
          <w:b/>
          <w:color w:val="000000" w:themeColor="text1"/>
          <w:lang w:val="en-US"/>
        </w:rPr>
        <w:t>Recruiting agenc</w:t>
      </w:r>
      <w:r w:rsidR="00844BB7">
        <w:rPr>
          <w:rFonts w:cs="Arial"/>
          <w:b/>
          <w:color w:val="000000" w:themeColor="text1"/>
          <w:lang w:val="en-US"/>
        </w:rPr>
        <w:t>y</w:t>
      </w:r>
      <w:r w:rsidRPr="00310673">
        <w:rPr>
          <w:rFonts w:cs="Arial"/>
          <w:b/>
          <w:color w:val="000000" w:themeColor="text1"/>
          <w:lang w:val="en-US"/>
        </w:rPr>
        <w:t>:</w:t>
      </w:r>
      <w:r w:rsidR="000A7427" w:rsidRPr="00310673">
        <w:rPr>
          <w:rFonts w:cs="Arial"/>
          <w:b/>
          <w:color w:val="000000" w:themeColor="text1"/>
          <w:lang w:val="en-US"/>
        </w:rPr>
        <w:t xml:space="preserve"> </w:t>
      </w:r>
      <w:r w:rsidRPr="00310673">
        <w:rPr>
          <w:rFonts w:cs="Arial"/>
          <w:color w:val="000000" w:themeColor="text1"/>
          <w:lang w:val="en-US"/>
        </w:rPr>
        <w:t>UNHCR Azerbaijan</w:t>
      </w:r>
      <w:r w:rsidR="00844BB7">
        <w:rPr>
          <w:rFonts w:cs="Arial"/>
          <w:color w:val="000000" w:themeColor="text1"/>
          <w:lang w:val="en-US"/>
        </w:rPr>
        <w:t xml:space="preserve"> on behalf of the Japanese private </w:t>
      </w:r>
      <w:r w:rsidR="00844BB7" w:rsidRPr="00310673">
        <w:rPr>
          <w:rFonts w:cs="Arial"/>
          <w:color w:val="000000" w:themeColor="text1"/>
          <w:lang w:val="en-US"/>
        </w:rPr>
        <w:t>Fuji Optical Co. Ltd</w:t>
      </w:r>
      <w:r w:rsidRPr="00310673">
        <w:rPr>
          <w:rFonts w:cs="Arial"/>
          <w:color w:val="000000" w:themeColor="text1"/>
          <w:lang w:val="en-US"/>
        </w:rPr>
        <w:t>.</w:t>
      </w:r>
      <w:r w:rsidRPr="00310673">
        <w:rPr>
          <w:rFonts w:cs="Arial"/>
          <w:b/>
          <w:color w:val="000000" w:themeColor="text1"/>
          <w:lang w:val="en-US"/>
        </w:rPr>
        <w:t xml:space="preserve"> </w:t>
      </w:r>
    </w:p>
    <w:p w:rsidR="00762A55" w:rsidRPr="00310673" w:rsidRDefault="00AD4BD3" w:rsidP="00637745">
      <w:pPr>
        <w:spacing w:before="120" w:after="0"/>
        <w:rPr>
          <w:rFonts w:cs="Arial"/>
          <w:b/>
          <w:color w:val="000000" w:themeColor="text1"/>
          <w:lang w:val="en-US"/>
        </w:rPr>
      </w:pPr>
      <w:r w:rsidRPr="00310673">
        <w:rPr>
          <w:rFonts w:cs="Arial"/>
          <w:b/>
          <w:color w:val="000000" w:themeColor="text1"/>
          <w:lang w:val="en-US"/>
        </w:rPr>
        <w:t>Areas</w:t>
      </w:r>
      <w:r w:rsidR="000A7427" w:rsidRPr="00310673">
        <w:rPr>
          <w:rFonts w:cs="Arial"/>
          <w:b/>
          <w:color w:val="000000" w:themeColor="text1"/>
          <w:lang w:val="en-US"/>
        </w:rPr>
        <w:t>:</w:t>
      </w:r>
      <w:r w:rsidR="002958E7" w:rsidRPr="00310673">
        <w:rPr>
          <w:rFonts w:cs="Arial"/>
          <w:b/>
          <w:color w:val="000000" w:themeColor="text1"/>
          <w:lang w:val="en-US"/>
        </w:rPr>
        <w:t xml:space="preserve"> </w:t>
      </w:r>
      <w:r w:rsidR="002958E7" w:rsidRPr="00310673">
        <w:rPr>
          <w:rFonts w:cs="Arial"/>
          <w:color w:val="000000" w:themeColor="text1"/>
          <w:lang w:val="en-US"/>
        </w:rPr>
        <w:t>Baku</w:t>
      </w:r>
      <w:r w:rsidRPr="00310673">
        <w:rPr>
          <w:rFonts w:cs="Arial"/>
          <w:color w:val="000000" w:themeColor="text1"/>
          <w:lang w:val="en-US"/>
        </w:rPr>
        <w:t xml:space="preserve"> and regions </w:t>
      </w:r>
      <w:r w:rsidR="00ED40D4">
        <w:rPr>
          <w:rFonts w:cs="Arial"/>
          <w:color w:val="000000" w:themeColor="text1"/>
          <w:lang w:val="en-US"/>
        </w:rPr>
        <w:t xml:space="preserve">(Tartar, </w:t>
      </w:r>
      <w:proofErr w:type="spellStart"/>
      <w:r w:rsidR="00ED40D4">
        <w:rPr>
          <w:rFonts w:cs="Arial"/>
          <w:color w:val="000000" w:themeColor="text1"/>
          <w:lang w:val="en-US"/>
        </w:rPr>
        <w:t>Agdam</w:t>
      </w:r>
      <w:proofErr w:type="spellEnd"/>
      <w:r w:rsidR="00ED40D4">
        <w:rPr>
          <w:rFonts w:cs="Arial"/>
          <w:color w:val="000000" w:themeColor="text1"/>
          <w:lang w:val="en-US"/>
        </w:rPr>
        <w:t xml:space="preserve"> – to be confirmed) </w:t>
      </w:r>
      <w:r w:rsidRPr="00310673">
        <w:rPr>
          <w:rFonts w:cs="Arial"/>
          <w:color w:val="000000" w:themeColor="text1"/>
          <w:lang w:val="en-US"/>
        </w:rPr>
        <w:t xml:space="preserve">of </w:t>
      </w:r>
      <w:r w:rsidR="002958E7" w:rsidRPr="00310673">
        <w:rPr>
          <w:rFonts w:cs="Arial"/>
          <w:color w:val="000000" w:themeColor="text1"/>
          <w:lang w:val="en-US"/>
        </w:rPr>
        <w:t>Azerbaijan</w:t>
      </w:r>
      <w:r w:rsidR="002958E7" w:rsidRPr="00310673">
        <w:rPr>
          <w:rFonts w:cs="Arial"/>
          <w:b/>
          <w:color w:val="000000" w:themeColor="text1"/>
          <w:lang w:val="en-US"/>
        </w:rPr>
        <w:t xml:space="preserve"> </w:t>
      </w:r>
    </w:p>
    <w:p w:rsidR="00762A55" w:rsidRPr="00310673" w:rsidRDefault="00762A55" w:rsidP="00637745">
      <w:pPr>
        <w:spacing w:before="120" w:after="0"/>
        <w:rPr>
          <w:rFonts w:cs="Arial"/>
          <w:b/>
          <w:color w:val="000000" w:themeColor="text1"/>
          <w:lang w:val="en-US"/>
        </w:rPr>
      </w:pPr>
      <w:r w:rsidRPr="00310673">
        <w:rPr>
          <w:rFonts w:cs="Arial"/>
          <w:b/>
          <w:color w:val="000000" w:themeColor="text1"/>
          <w:lang w:val="en-US"/>
        </w:rPr>
        <w:t>Duration</w:t>
      </w:r>
      <w:r w:rsidR="00916691" w:rsidRPr="00310673">
        <w:rPr>
          <w:rFonts w:cs="Arial"/>
          <w:b/>
          <w:color w:val="000000" w:themeColor="text1"/>
          <w:lang w:val="en-US"/>
        </w:rPr>
        <w:t>:</w:t>
      </w:r>
      <w:r w:rsidR="002958E7" w:rsidRPr="00310673">
        <w:rPr>
          <w:rFonts w:cs="Arial"/>
          <w:b/>
          <w:color w:val="000000" w:themeColor="text1"/>
          <w:lang w:val="en-US"/>
        </w:rPr>
        <w:t xml:space="preserve"> </w:t>
      </w:r>
      <w:r w:rsidR="00AD4BD3" w:rsidRPr="00310673">
        <w:rPr>
          <w:rFonts w:cs="Arial"/>
          <w:color w:val="000000" w:themeColor="text1"/>
          <w:lang w:val="en-US"/>
        </w:rPr>
        <w:t>7</w:t>
      </w:r>
      <w:r w:rsidR="002958E7" w:rsidRPr="00310673">
        <w:rPr>
          <w:rFonts w:cs="Arial"/>
          <w:color w:val="000000" w:themeColor="text1"/>
          <w:lang w:val="en-US"/>
        </w:rPr>
        <w:t xml:space="preserve"> </w:t>
      </w:r>
      <w:r w:rsidR="00074F6A" w:rsidRPr="00310673">
        <w:rPr>
          <w:rFonts w:cs="Arial"/>
          <w:color w:val="000000" w:themeColor="text1"/>
          <w:lang w:val="en-US"/>
        </w:rPr>
        <w:t>(</w:t>
      </w:r>
      <w:r w:rsidR="00AD4BD3" w:rsidRPr="00310673">
        <w:rPr>
          <w:rFonts w:cs="Arial"/>
          <w:color w:val="000000" w:themeColor="text1"/>
          <w:lang w:val="en-US"/>
        </w:rPr>
        <w:t>seven</w:t>
      </w:r>
      <w:r w:rsidR="00074F6A" w:rsidRPr="00310673">
        <w:rPr>
          <w:rFonts w:cs="Arial"/>
          <w:color w:val="000000" w:themeColor="text1"/>
          <w:lang w:val="en-US"/>
        </w:rPr>
        <w:t xml:space="preserve">) </w:t>
      </w:r>
      <w:r w:rsidR="007C399E" w:rsidRPr="00310673">
        <w:rPr>
          <w:rFonts w:cs="Arial"/>
          <w:color w:val="000000" w:themeColor="text1"/>
          <w:lang w:val="en-US"/>
        </w:rPr>
        <w:t>days</w:t>
      </w:r>
      <w:r w:rsidR="00AD4BD3" w:rsidRPr="00310673">
        <w:rPr>
          <w:rFonts w:cs="Arial"/>
          <w:color w:val="000000" w:themeColor="text1"/>
          <w:lang w:val="en-US"/>
        </w:rPr>
        <w:t>, from 11</w:t>
      </w:r>
      <w:r w:rsidR="00AD4BD3" w:rsidRPr="00310673">
        <w:rPr>
          <w:rFonts w:cs="Arial"/>
          <w:color w:val="000000" w:themeColor="text1"/>
          <w:vertAlign w:val="superscript"/>
          <w:lang w:val="en-US"/>
        </w:rPr>
        <w:t>th</w:t>
      </w:r>
      <w:r w:rsidR="00AD4BD3" w:rsidRPr="00310673">
        <w:rPr>
          <w:rFonts w:cs="Arial"/>
          <w:color w:val="000000" w:themeColor="text1"/>
          <w:lang w:val="en-US"/>
        </w:rPr>
        <w:t xml:space="preserve"> to 18</w:t>
      </w:r>
      <w:r w:rsidR="00AD4BD3" w:rsidRPr="00310673">
        <w:rPr>
          <w:rFonts w:cs="Arial"/>
          <w:color w:val="000000" w:themeColor="text1"/>
          <w:vertAlign w:val="superscript"/>
          <w:lang w:val="en-US"/>
        </w:rPr>
        <w:t>th</w:t>
      </w:r>
      <w:r w:rsidR="00AD4BD3" w:rsidRPr="00310673">
        <w:rPr>
          <w:rFonts w:cs="Arial"/>
          <w:color w:val="000000" w:themeColor="text1"/>
          <w:lang w:val="en-US"/>
        </w:rPr>
        <w:t xml:space="preserve"> May 2020 with a day break on Sunday </w:t>
      </w:r>
      <w:r w:rsidR="00AD4BD3" w:rsidRPr="00FF71F3">
        <w:rPr>
          <w:rFonts w:cs="Arial"/>
          <w:color w:val="000000" w:themeColor="text1"/>
          <w:lang w:val="en-US"/>
        </w:rPr>
        <w:t>1</w:t>
      </w:r>
      <w:r w:rsidR="009D5BA2" w:rsidRPr="00FF71F3">
        <w:rPr>
          <w:rFonts w:cs="Arial"/>
          <w:color w:val="000000" w:themeColor="text1"/>
          <w:lang w:val="en-US"/>
        </w:rPr>
        <w:t>7</w:t>
      </w:r>
      <w:r w:rsidR="00AD4BD3" w:rsidRPr="00FF71F3">
        <w:rPr>
          <w:rFonts w:cs="Arial"/>
          <w:color w:val="000000" w:themeColor="text1"/>
          <w:vertAlign w:val="superscript"/>
          <w:lang w:val="en-US"/>
        </w:rPr>
        <w:t>t</w:t>
      </w:r>
      <w:r w:rsidR="00AD4BD3" w:rsidRPr="00310673">
        <w:rPr>
          <w:rFonts w:cs="Arial"/>
          <w:color w:val="000000" w:themeColor="text1"/>
          <w:vertAlign w:val="superscript"/>
          <w:lang w:val="en-US"/>
        </w:rPr>
        <w:t>h</w:t>
      </w:r>
      <w:r w:rsidR="00AD4BD3" w:rsidRPr="00310673">
        <w:rPr>
          <w:rFonts w:cs="Arial"/>
          <w:color w:val="000000" w:themeColor="text1"/>
          <w:lang w:val="en-US"/>
        </w:rPr>
        <w:t xml:space="preserve"> May </w:t>
      </w:r>
      <w:r w:rsidR="007C399E" w:rsidRPr="00310673">
        <w:rPr>
          <w:rFonts w:cs="Arial"/>
          <w:color w:val="000000" w:themeColor="text1"/>
          <w:lang w:val="en-US"/>
        </w:rPr>
        <w:t xml:space="preserve"> </w:t>
      </w:r>
    </w:p>
    <w:p w:rsidR="00762A55" w:rsidRPr="00310673" w:rsidRDefault="00916691" w:rsidP="00637745">
      <w:pPr>
        <w:spacing w:before="120"/>
        <w:jc w:val="both"/>
        <w:rPr>
          <w:rFonts w:cs="Arial"/>
          <w:color w:val="000000" w:themeColor="text1"/>
          <w:lang w:val="en-US"/>
        </w:rPr>
      </w:pPr>
      <w:r w:rsidRPr="00310673">
        <w:rPr>
          <w:rFonts w:cs="Arial"/>
          <w:b/>
          <w:color w:val="000000" w:themeColor="text1"/>
          <w:lang w:val="en-US"/>
        </w:rPr>
        <w:t>Background information</w:t>
      </w:r>
      <w:r w:rsidR="00AD4BD3" w:rsidRPr="00310673">
        <w:rPr>
          <w:rFonts w:cs="Arial"/>
          <w:b/>
          <w:color w:val="000000" w:themeColor="text1"/>
          <w:lang w:val="en-US"/>
        </w:rPr>
        <w:t xml:space="preserve"> </w:t>
      </w:r>
    </w:p>
    <w:p w:rsidR="008E5886" w:rsidRPr="00310673" w:rsidRDefault="008E5886" w:rsidP="00637745">
      <w:pPr>
        <w:spacing w:before="120" w:after="0" w:line="240" w:lineRule="auto"/>
        <w:jc w:val="both"/>
        <w:rPr>
          <w:color w:val="000000" w:themeColor="text1"/>
        </w:rPr>
      </w:pPr>
      <w:r w:rsidRPr="00310673">
        <w:rPr>
          <w:rFonts w:cs="Arial"/>
          <w:color w:val="000000" w:themeColor="text1"/>
          <w:lang w:val="en-US"/>
        </w:rPr>
        <w:t xml:space="preserve">UNHCR, the UN Refugee Agency, is a global organization dedicated to saving lives, protecting rights and building a better future for refugees, forcibly displaced communities and stateless people. The agency established </w:t>
      </w:r>
      <w:r w:rsidRPr="00310673">
        <w:rPr>
          <w:rFonts w:eastAsia="Times New Roman" w:cs="Calibri"/>
          <w:color w:val="000000"/>
          <w:lang w:eastAsia="en-GB"/>
        </w:rPr>
        <w:t xml:space="preserve">its presence in Azerbaijan in December 1992 and launched an emergency and relief operation to assist thousands of persons fleeing the conflict over Nagorno-Karabakh. </w:t>
      </w:r>
      <w:r w:rsidR="00E6434E" w:rsidRPr="00310673">
        <w:rPr>
          <w:rFonts w:eastAsia="Times New Roman" w:cs="Calibri"/>
          <w:color w:val="000000"/>
          <w:lang w:eastAsia="en-GB"/>
        </w:rPr>
        <w:t>During the past 27 years</w:t>
      </w:r>
      <w:r w:rsidR="00FF71F3">
        <w:rPr>
          <w:rFonts w:eastAsia="Times New Roman" w:cs="Calibri"/>
          <w:color w:val="000000"/>
          <w:lang w:eastAsia="en-GB"/>
        </w:rPr>
        <w:t xml:space="preserve"> </w:t>
      </w:r>
      <w:r w:rsidR="00E6434E" w:rsidRPr="00310673">
        <w:rPr>
          <w:color w:val="000000" w:themeColor="text1"/>
        </w:rPr>
        <w:t>UNHCR provided assistance and protection to refugees, asylum seekers</w:t>
      </w:r>
      <w:r w:rsidR="00284BA6">
        <w:rPr>
          <w:color w:val="000000" w:themeColor="text1"/>
        </w:rPr>
        <w:t xml:space="preserve">, </w:t>
      </w:r>
      <w:r w:rsidR="00284BA6" w:rsidRPr="00310673">
        <w:rPr>
          <w:color w:val="000000" w:themeColor="text1"/>
        </w:rPr>
        <w:t xml:space="preserve">internally displaced </w:t>
      </w:r>
      <w:r w:rsidR="00E6434E" w:rsidRPr="00310673">
        <w:rPr>
          <w:color w:val="000000" w:themeColor="text1"/>
        </w:rPr>
        <w:t>and stateless people</w:t>
      </w:r>
      <w:r w:rsidR="00FF71F3">
        <w:rPr>
          <w:color w:val="000000" w:themeColor="text1"/>
        </w:rPr>
        <w:t xml:space="preserve"> by delivering </w:t>
      </w:r>
      <w:r w:rsidR="00FF71F3" w:rsidRPr="00310673">
        <w:rPr>
          <w:color w:val="000000" w:themeColor="text1"/>
        </w:rPr>
        <w:t>emergency relief assistance, shelter, education, healthcare, water supply, sanitation and income generation programmes</w:t>
      </w:r>
      <w:r w:rsidRPr="00310673">
        <w:rPr>
          <w:color w:val="000000" w:themeColor="text1"/>
        </w:rPr>
        <w:t>.</w:t>
      </w:r>
      <w:r w:rsidR="00E6434E" w:rsidRPr="00310673">
        <w:rPr>
          <w:color w:val="000000" w:themeColor="text1"/>
        </w:rPr>
        <w:t xml:space="preserve"> </w:t>
      </w:r>
    </w:p>
    <w:p w:rsidR="004B23CE" w:rsidRPr="00310673" w:rsidRDefault="008E5886" w:rsidP="00637745">
      <w:pPr>
        <w:spacing w:before="120"/>
        <w:jc w:val="both"/>
      </w:pPr>
      <w:r w:rsidRPr="00310673">
        <w:t xml:space="preserve">Since 2005, UNHCR arranged </w:t>
      </w:r>
      <w:r w:rsidR="00284BA6">
        <w:t xml:space="preserve">annual </w:t>
      </w:r>
      <w:r w:rsidRPr="00310673">
        <w:t xml:space="preserve">humanitarian missions of the Japanese private company of Fuji Optical Co. Ltd. to Azerbaijan. During such missions, Japanese optometrist specialists conduct eye-check for internally displaced persons (IDPs), refugees and other vulnerable people and distribute free-of charge </w:t>
      </w:r>
      <w:r w:rsidR="00284BA6">
        <w:t xml:space="preserve">high quality </w:t>
      </w:r>
      <w:r w:rsidRPr="00310673">
        <w:t>eye-glasses to them. All missions have been led by the Doctor Akio Kanai, who is the winner of the 2006 Nansen Refugee Award and many other prestigious awards.</w:t>
      </w:r>
      <w:r w:rsidR="004B23CE" w:rsidRPr="00310673">
        <w:t xml:space="preserve"> </w:t>
      </w:r>
    </w:p>
    <w:p w:rsidR="008E5886" w:rsidRPr="00310673" w:rsidRDefault="004B23CE" w:rsidP="00637745">
      <w:pPr>
        <w:spacing w:before="120"/>
        <w:jc w:val="both"/>
      </w:pPr>
      <w:r w:rsidRPr="00310673">
        <w:t xml:space="preserve">During 2005-2019, the Fuji vision aid missions were supported by </w:t>
      </w:r>
      <w:r w:rsidR="00CC7FE8" w:rsidRPr="00310673">
        <w:t xml:space="preserve">the </w:t>
      </w:r>
      <w:r w:rsidRPr="00310673">
        <w:t xml:space="preserve">Interpreters. The last selection </w:t>
      </w:r>
      <w:r w:rsidR="00CC7FE8" w:rsidRPr="00310673">
        <w:t xml:space="preserve">of the Interpreters </w:t>
      </w:r>
      <w:r w:rsidRPr="00310673">
        <w:t xml:space="preserve">took place in 2014 </w:t>
      </w:r>
      <w:r w:rsidR="00CC7FE8" w:rsidRPr="00310673">
        <w:t xml:space="preserve">and the </w:t>
      </w:r>
      <w:r w:rsidR="00284BA6">
        <w:t xml:space="preserve">established cohort </w:t>
      </w:r>
      <w:r w:rsidR="00CC7FE8" w:rsidRPr="00310673">
        <w:t>served until 2019 with a few replacements</w:t>
      </w:r>
      <w:r w:rsidR="00BC24FD" w:rsidRPr="00310673">
        <w:t xml:space="preserve"> in its composition</w:t>
      </w:r>
      <w:r w:rsidR="00CC7FE8" w:rsidRPr="00310673">
        <w:t>. During the evaluation of the 15</w:t>
      </w:r>
      <w:r w:rsidR="00CC7FE8" w:rsidRPr="00310673">
        <w:rPr>
          <w:vertAlign w:val="superscript"/>
        </w:rPr>
        <w:t>th</w:t>
      </w:r>
      <w:r w:rsidR="00CC7FE8" w:rsidRPr="00310673">
        <w:t xml:space="preserve"> mission it was recommended to discontinue the practice of working with the Interpreters and to recruit volunteers to assist not only </w:t>
      </w:r>
      <w:r w:rsidR="00BC24FD" w:rsidRPr="00310673">
        <w:t xml:space="preserve">in building </w:t>
      </w:r>
      <w:r w:rsidR="00CC7FE8" w:rsidRPr="00310673">
        <w:t>communication between the Japanese Optometrist specialists and beneficiaries, but also in registration</w:t>
      </w:r>
      <w:r w:rsidR="00DE3859">
        <w:t xml:space="preserve"> of patients</w:t>
      </w:r>
      <w:r w:rsidR="00CC7FE8" w:rsidRPr="00310673">
        <w:t xml:space="preserve">, queue control and dispensing of </w:t>
      </w:r>
      <w:r w:rsidR="00BC24FD" w:rsidRPr="00310673">
        <w:t xml:space="preserve">the prescribed </w:t>
      </w:r>
      <w:r w:rsidR="00CC7FE8" w:rsidRPr="00310673">
        <w:t xml:space="preserve">eyeglasses. </w:t>
      </w:r>
    </w:p>
    <w:p w:rsidR="00CA6BF7" w:rsidRPr="00D40F98" w:rsidRDefault="00D40F98" w:rsidP="008E5886">
      <w:pPr>
        <w:spacing w:before="120"/>
        <w:jc w:val="both"/>
        <w:rPr>
          <w:b/>
        </w:rPr>
      </w:pPr>
      <w:r w:rsidRPr="00D40F98">
        <w:rPr>
          <w:b/>
        </w:rPr>
        <w:t xml:space="preserve">Qualifications, duties and responsibilities specific to certain functions </w:t>
      </w:r>
      <w:r w:rsidR="00637745">
        <w:rPr>
          <w:b/>
        </w:rPr>
        <w:t xml:space="preserve">to </w:t>
      </w:r>
      <w:r w:rsidRPr="00D40F98">
        <w:rPr>
          <w:b/>
        </w:rPr>
        <w:t xml:space="preserve">volunteer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399"/>
        <w:gridCol w:w="4547"/>
        <w:gridCol w:w="3049"/>
      </w:tblGrid>
      <w:tr w:rsidR="00637745" w:rsidRPr="00ED40D4" w:rsidTr="00637745">
        <w:tc>
          <w:tcPr>
            <w:tcW w:w="1369" w:type="dxa"/>
          </w:tcPr>
          <w:p w:rsidR="00637745" w:rsidRPr="00ED40D4" w:rsidRDefault="00637745" w:rsidP="00D40F9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ED40D4">
              <w:rPr>
                <w:b/>
                <w:sz w:val="20"/>
                <w:szCs w:val="20"/>
              </w:rPr>
              <w:t xml:space="preserve">Function </w:t>
            </w:r>
          </w:p>
        </w:tc>
        <w:tc>
          <w:tcPr>
            <w:tcW w:w="4566" w:type="dxa"/>
          </w:tcPr>
          <w:p w:rsidR="00637745" w:rsidRPr="00ED40D4" w:rsidRDefault="00637745" w:rsidP="00D40F9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ED40D4">
              <w:rPr>
                <w:b/>
                <w:sz w:val="20"/>
                <w:szCs w:val="20"/>
              </w:rPr>
              <w:t>Required/desired qualifications</w:t>
            </w:r>
          </w:p>
        </w:tc>
        <w:tc>
          <w:tcPr>
            <w:tcW w:w="3060" w:type="dxa"/>
          </w:tcPr>
          <w:p w:rsidR="00637745" w:rsidRPr="00ED40D4" w:rsidRDefault="00637745" w:rsidP="00D40F9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ED40D4">
              <w:rPr>
                <w:b/>
                <w:sz w:val="20"/>
                <w:szCs w:val="20"/>
              </w:rPr>
              <w:t xml:space="preserve">Duties &amp; responsibilities </w:t>
            </w:r>
          </w:p>
        </w:tc>
      </w:tr>
      <w:tr w:rsidR="00637745" w:rsidRPr="00F61DE6" w:rsidTr="00637745">
        <w:tc>
          <w:tcPr>
            <w:tcW w:w="1369" w:type="dxa"/>
          </w:tcPr>
          <w:p w:rsidR="00637745" w:rsidRPr="00ED40D4" w:rsidRDefault="00637745" w:rsidP="00D40F9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ED40D4">
              <w:rPr>
                <w:b/>
                <w:sz w:val="20"/>
                <w:szCs w:val="20"/>
              </w:rPr>
              <w:t xml:space="preserve">Interpretation </w:t>
            </w:r>
            <w:r w:rsidRPr="00ED40D4">
              <w:rPr>
                <w:sz w:val="20"/>
                <w:szCs w:val="20"/>
              </w:rPr>
              <w:t>(Japanese-Azerbaijani)</w:t>
            </w:r>
            <w:r w:rsidRPr="00ED40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66" w:type="dxa"/>
          </w:tcPr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Bachelor degree in Language studies, Communication and other related field; 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Fluency in spoken Japanese</w:t>
            </w:r>
            <w:r>
              <w:rPr>
                <w:sz w:val="20"/>
                <w:szCs w:val="20"/>
              </w:rPr>
              <w:t xml:space="preserve"> and Azerbaijani</w:t>
            </w:r>
            <w:r w:rsidRPr="00183E79">
              <w:rPr>
                <w:sz w:val="20"/>
                <w:szCs w:val="20"/>
              </w:rPr>
              <w:t xml:space="preserve">; </w:t>
            </w:r>
          </w:p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83E79">
              <w:rPr>
                <w:rFonts w:asciiTheme="minorHAnsi" w:hAnsiTheme="minorHAnsi"/>
                <w:sz w:val="20"/>
                <w:szCs w:val="20"/>
              </w:rPr>
              <w:t>Awareness of both Japanese and Azerbaijani culture, g</w:t>
            </w: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ood communication skills and ability to apply cultural knowledge to render an accurate and meaningful interpretation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Knowledge on the United Nations values and principles, essence of volunteerism, as well as  displacement challenges of the </w:t>
            </w:r>
            <w:r>
              <w:rPr>
                <w:sz w:val="20"/>
                <w:szCs w:val="20"/>
              </w:rPr>
              <w:t xml:space="preserve">contemporary </w:t>
            </w:r>
            <w:r w:rsidRPr="00183E79">
              <w:rPr>
                <w:sz w:val="20"/>
                <w:szCs w:val="20"/>
              </w:rPr>
              <w:t xml:space="preserve">world, especially of the region including Azerbaijan; 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Experience in interpreting is highly desired;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Good command of English, Russian and other languages would be an asset. </w:t>
            </w:r>
          </w:p>
        </w:tc>
        <w:tc>
          <w:tcPr>
            <w:tcW w:w="3060" w:type="dxa"/>
          </w:tcPr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Facilitate communication between the optometrist specialists and the people benefitting from the vision aid; </w:t>
            </w:r>
          </w:p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Treat beneficiaries politely, demonstrate care and high respect towards them;</w:t>
            </w:r>
          </w:p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Perform other duties and tasks assigned by the mission leader or the coordinator.</w:t>
            </w:r>
          </w:p>
        </w:tc>
      </w:tr>
      <w:tr w:rsidR="00637745" w:rsidRPr="00F61DE6" w:rsidTr="00637745">
        <w:tc>
          <w:tcPr>
            <w:tcW w:w="1369" w:type="dxa"/>
          </w:tcPr>
          <w:p w:rsidR="00637745" w:rsidRPr="00ED40D4" w:rsidRDefault="00637745" w:rsidP="00D40F9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ED40D4">
              <w:rPr>
                <w:b/>
                <w:sz w:val="20"/>
                <w:szCs w:val="20"/>
              </w:rPr>
              <w:t xml:space="preserve">Eye-glasses distribution </w:t>
            </w:r>
          </w:p>
        </w:tc>
        <w:tc>
          <w:tcPr>
            <w:tcW w:w="4566" w:type="dxa"/>
          </w:tcPr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Successful completion of high school (11</w:t>
            </w:r>
            <w:r w:rsidRPr="00183E79">
              <w:rPr>
                <w:sz w:val="20"/>
                <w:szCs w:val="20"/>
                <w:vertAlign w:val="superscript"/>
              </w:rPr>
              <w:t>th</w:t>
            </w:r>
            <w:r w:rsidRPr="00183E79">
              <w:rPr>
                <w:sz w:val="20"/>
                <w:szCs w:val="20"/>
              </w:rPr>
              <w:t xml:space="preserve"> grade), college or university in Azerbaijan; 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Fluency in Japanese and Azerbaijani, both speaking and writing;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G</w:t>
            </w:r>
            <w:r w:rsidRPr="00183E79">
              <w:rPr>
                <w:rFonts w:cs="Arial"/>
                <w:color w:val="000000" w:themeColor="text1"/>
                <w:sz w:val="20"/>
                <w:szCs w:val="20"/>
              </w:rPr>
              <w:t>ood communication skills and</w:t>
            </w:r>
            <w:r w:rsidRPr="00183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cultural a</w:t>
            </w:r>
            <w:r w:rsidRPr="00183E79">
              <w:rPr>
                <w:sz w:val="20"/>
                <w:szCs w:val="20"/>
              </w:rPr>
              <w:t>wareness;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lastRenderedPageBreak/>
              <w:t xml:space="preserve">Clear handwriting; 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Experience in stock management is desired;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Good command of English, Russian and other languages would be an asset.   </w:t>
            </w:r>
          </w:p>
        </w:tc>
        <w:tc>
          <w:tcPr>
            <w:tcW w:w="3060" w:type="dxa"/>
          </w:tcPr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 xml:space="preserve">Dispense eyeglasses in accordance with the provided instructions and based on the prescriptions issued by the Japanese optometrist specialists; </w:t>
            </w:r>
          </w:p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>Treat beneficiaries politely, demonstrate care and high respect towards them;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Perform other duties and tasks assigned by the mission leader or the coordinator.</w:t>
            </w:r>
          </w:p>
        </w:tc>
      </w:tr>
      <w:tr w:rsidR="00637745" w:rsidRPr="00F61DE6" w:rsidTr="00637745">
        <w:tc>
          <w:tcPr>
            <w:tcW w:w="1369" w:type="dxa"/>
          </w:tcPr>
          <w:p w:rsidR="00637745" w:rsidRPr="00ED40D4" w:rsidRDefault="00637745" w:rsidP="00ED40D4">
            <w:pPr>
              <w:spacing w:before="120"/>
              <w:rPr>
                <w:b/>
                <w:sz w:val="20"/>
                <w:szCs w:val="20"/>
              </w:rPr>
            </w:pPr>
            <w:r w:rsidRPr="00ED40D4">
              <w:rPr>
                <w:b/>
                <w:sz w:val="20"/>
                <w:szCs w:val="20"/>
              </w:rPr>
              <w:lastRenderedPageBreak/>
              <w:t xml:space="preserve">Registration and queue control  </w:t>
            </w:r>
          </w:p>
        </w:tc>
        <w:tc>
          <w:tcPr>
            <w:tcW w:w="4566" w:type="dxa"/>
          </w:tcPr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Successful completion of high school (11</w:t>
            </w:r>
            <w:r w:rsidRPr="00183E79">
              <w:rPr>
                <w:sz w:val="20"/>
                <w:szCs w:val="20"/>
                <w:vertAlign w:val="superscript"/>
              </w:rPr>
              <w:t>th</w:t>
            </w:r>
            <w:r w:rsidRPr="00183E79">
              <w:rPr>
                <w:sz w:val="20"/>
                <w:szCs w:val="20"/>
              </w:rPr>
              <w:t xml:space="preserve"> grade), college or university in Azerbaijan; 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Fluency in Azerbaijani, both speaking and writing;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Awareness of both Japanese and Azerbaijani culture;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Clear handwriting; 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Experience in </w:t>
            </w:r>
            <w:r w:rsidR="00DE3859">
              <w:rPr>
                <w:sz w:val="20"/>
                <w:szCs w:val="20"/>
              </w:rPr>
              <w:t xml:space="preserve">social work </w:t>
            </w:r>
            <w:r w:rsidRPr="00183E79">
              <w:rPr>
                <w:sz w:val="20"/>
                <w:szCs w:val="20"/>
              </w:rPr>
              <w:t>is desired;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 xml:space="preserve">Good command of </w:t>
            </w:r>
            <w:r>
              <w:rPr>
                <w:sz w:val="20"/>
                <w:szCs w:val="20"/>
              </w:rPr>
              <w:t xml:space="preserve">Japanese, </w:t>
            </w:r>
            <w:r w:rsidRPr="00183E79">
              <w:rPr>
                <w:sz w:val="20"/>
                <w:szCs w:val="20"/>
              </w:rPr>
              <w:t xml:space="preserve">English, Russian and other languages would be an asset.   </w:t>
            </w:r>
          </w:p>
        </w:tc>
        <w:tc>
          <w:tcPr>
            <w:tcW w:w="3060" w:type="dxa"/>
          </w:tcPr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Assist in registration of beneficiaries by filling in blank forms;</w:t>
            </w:r>
          </w:p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Assist in creating and maintaining in order the lines of beneficiaries waiting for their eyes checked;</w:t>
            </w:r>
          </w:p>
          <w:p w:rsidR="00637745" w:rsidRPr="00183E79" w:rsidRDefault="00637745" w:rsidP="00D40F98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183E7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Treat beneficiaries politely, demonstrate care and high respect towards them;</w:t>
            </w:r>
          </w:p>
          <w:p w:rsidR="00637745" w:rsidRPr="00183E79" w:rsidRDefault="00637745" w:rsidP="00D40F98">
            <w:pPr>
              <w:spacing w:before="120"/>
              <w:jc w:val="both"/>
              <w:rPr>
                <w:sz w:val="20"/>
                <w:szCs w:val="20"/>
              </w:rPr>
            </w:pPr>
            <w:r w:rsidRPr="00183E79">
              <w:rPr>
                <w:sz w:val="20"/>
                <w:szCs w:val="20"/>
              </w:rPr>
              <w:t>Perform other duties and tasks assigned by the mission leader or the coordinator.</w:t>
            </w:r>
          </w:p>
        </w:tc>
      </w:tr>
    </w:tbl>
    <w:p w:rsidR="00310673" w:rsidRDefault="00310673" w:rsidP="002A54E8">
      <w:pPr>
        <w:pStyle w:val="NormalWeb"/>
        <w:spacing w:before="60" w:beforeAutospacing="0" w:after="0" w:afterAutospacing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40F98" w:rsidRPr="00637745" w:rsidRDefault="00D40F98" w:rsidP="00637745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37745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Provisions </w:t>
      </w:r>
    </w:p>
    <w:p w:rsidR="00D40F98" w:rsidRPr="00DE3859" w:rsidRDefault="00ED40D4" w:rsidP="00637745">
      <w:pPr>
        <w:spacing w:before="120" w:after="0" w:line="240" w:lineRule="auto"/>
        <w:jc w:val="both"/>
        <w:rPr>
          <w:rFonts w:cs="Arial"/>
          <w:b/>
          <w:color w:val="000000" w:themeColor="text1"/>
        </w:rPr>
      </w:pPr>
      <w:r w:rsidRPr="00DE3859">
        <w:rPr>
          <w:color w:val="000000" w:themeColor="text1"/>
        </w:rPr>
        <w:t>All volunteers joined to the Fuji vision aid mission will be provided with f</w:t>
      </w:r>
      <w:r w:rsidR="00637745" w:rsidRPr="00DE3859">
        <w:rPr>
          <w:color w:val="000000" w:themeColor="text1"/>
        </w:rPr>
        <w:t xml:space="preserve">ood </w:t>
      </w:r>
      <w:r w:rsidR="002E67CD" w:rsidRPr="00DE3859">
        <w:rPr>
          <w:color w:val="000000" w:themeColor="text1"/>
        </w:rPr>
        <w:t xml:space="preserve">while they are involved in </w:t>
      </w:r>
      <w:r w:rsidR="00BC5ED0" w:rsidRPr="00DE3859">
        <w:rPr>
          <w:color w:val="000000" w:themeColor="text1"/>
        </w:rPr>
        <w:t xml:space="preserve">the </w:t>
      </w:r>
      <w:r w:rsidR="002E67CD" w:rsidRPr="00DE3859">
        <w:rPr>
          <w:color w:val="000000" w:themeColor="text1"/>
        </w:rPr>
        <w:t xml:space="preserve">mission activities </w:t>
      </w:r>
      <w:r w:rsidR="00637745" w:rsidRPr="00DE3859">
        <w:rPr>
          <w:color w:val="000000" w:themeColor="text1"/>
        </w:rPr>
        <w:t xml:space="preserve">and accommodation during the stay </w:t>
      </w:r>
      <w:r w:rsidRPr="00DE3859">
        <w:rPr>
          <w:color w:val="000000" w:themeColor="text1"/>
        </w:rPr>
        <w:t xml:space="preserve">in regions. They are entitled to receive a </w:t>
      </w:r>
      <w:r w:rsidR="00637745" w:rsidRPr="00DE3859">
        <w:rPr>
          <w:color w:val="000000" w:themeColor="text1"/>
        </w:rPr>
        <w:t>pocket money in the amount of 20 USD per day.</w:t>
      </w:r>
      <w:r w:rsidR="002E67CD" w:rsidRPr="00DE3859">
        <w:rPr>
          <w:color w:val="000000" w:themeColor="text1"/>
        </w:rPr>
        <w:t xml:space="preserve"> Subject to availability of funds, additional cash or in-kind rewards </w:t>
      </w:r>
      <w:r w:rsidR="00DE3859">
        <w:rPr>
          <w:color w:val="000000" w:themeColor="text1"/>
        </w:rPr>
        <w:t xml:space="preserve">can </w:t>
      </w:r>
      <w:r w:rsidR="002E67CD" w:rsidRPr="00DE3859">
        <w:rPr>
          <w:color w:val="000000" w:themeColor="text1"/>
        </w:rPr>
        <w:t xml:space="preserve">be </w:t>
      </w:r>
      <w:r w:rsidR="00DE3859" w:rsidRPr="00DE3859">
        <w:rPr>
          <w:color w:val="000000" w:themeColor="text1"/>
        </w:rPr>
        <w:t>assigned</w:t>
      </w:r>
      <w:r w:rsidR="002E67CD" w:rsidRPr="00DE3859">
        <w:rPr>
          <w:color w:val="000000" w:themeColor="text1"/>
        </w:rPr>
        <w:t xml:space="preserve"> to 2 or 3 volunteers </w:t>
      </w:r>
      <w:r w:rsidR="00DE3859">
        <w:rPr>
          <w:color w:val="000000" w:themeColor="text1"/>
        </w:rPr>
        <w:t xml:space="preserve">as an acknowledgement of </w:t>
      </w:r>
      <w:r w:rsidR="002E67CD" w:rsidRPr="00DE3859">
        <w:rPr>
          <w:color w:val="000000" w:themeColor="text1"/>
        </w:rPr>
        <w:t xml:space="preserve">their performance and </w:t>
      </w:r>
      <w:r w:rsidR="00DE3859">
        <w:rPr>
          <w:color w:val="000000" w:themeColor="text1"/>
        </w:rPr>
        <w:t xml:space="preserve">proven dedication </w:t>
      </w:r>
      <w:r w:rsidR="002E67CD" w:rsidRPr="00DE3859">
        <w:rPr>
          <w:color w:val="000000" w:themeColor="text1"/>
        </w:rPr>
        <w:t xml:space="preserve">to </w:t>
      </w:r>
      <w:r w:rsidR="00112FA3" w:rsidRPr="00DE3859">
        <w:rPr>
          <w:color w:val="000000" w:themeColor="text1"/>
        </w:rPr>
        <w:t>the team work</w:t>
      </w:r>
      <w:r w:rsidR="002E67CD" w:rsidRPr="00DE3859">
        <w:rPr>
          <w:color w:val="000000" w:themeColor="text1"/>
        </w:rPr>
        <w:t>.</w:t>
      </w:r>
    </w:p>
    <w:p w:rsidR="00D40F98" w:rsidRPr="00637745" w:rsidRDefault="00112FA3" w:rsidP="00637745">
      <w:pPr>
        <w:spacing w:before="120" w:after="0" w:line="240" w:lineRule="auto"/>
        <w:jc w:val="both"/>
        <w:rPr>
          <w:b/>
        </w:rPr>
      </w:pPr>
      <w:r>
        <w:rPr>
          <w:b/>
        </w:rPr>
        <w:t xml:space="preserve">Selection process </w:t>
      </w:r>
    </w:p>
    <w:p w:rsidR="00637745" w:rsidRDefault="00637745" w:rsidP="00112FA3">
      <w:pPr>
        <w:spacing w:before="120"/>
        <w:jc w:val="both"/>
        <w:rPr>
          <w:rFonts w:cs="Arial"/>
          <w:color w:val="000000" w:themeColor="text1"/>
        </w:rPr>
      </w:pPr>
      <w:r>
        <w:t xml:space="preserve">Application form can be found in the next page. </w:t>
      </w:r>
      <w:r w:rsidR="00D40F98" w:rsidRPr="00637745">
        <w:t>All applications along with supporting documents (</w:t>
      </w:r>
      <w:r w:rsidR="00D40F98" w:rsidRPr="00637745">
        <w:rPr>
          <w:rFonts w:cs="Arial"/>
          <w:color w:val="000000" w:themeColor="text1"/>
        </w:rPr>
        <w:t xml:space="preserve">diplomas/certificates, document verifying proficiency in certain languages) </w:t>
      </w:r>
      <w:r w:rsidR="00D40F98" w:rsidRPr="00637745">
        <w:t xml:space="preserve">should be sent to </w:t>
      </w:r>
      <w:hyperlink r:id="rId8" w:history="1">
        <w:r w:rsidR="00DE3859" w:rsidRPr="00420D74">
          <w:rPr>
            <w:rStyle w:val="Hyperlink"/>
          </w:rPr>
          <w:t>azeba@unhcr.org</w:t>
        </w:r>
      </w:hyperlink>
      <w:r w:rsidR="00DE3859">
        <w:t xml:space="preserve"> </w:t>
      </w:r>
      <w:r w:rsidRPr="00ED40D4">
        <w:rPr>
          <w:b/>
          <w:u w:val="single"/>
        </w:rPr>
        <w:t xml:space="preserve">by </w:t>
      </w:r>
      <w:r w:rsidR="00C84700">
        <w:rPr>
          <w:b/>
          <w:u w:val="single"/>
        </w:rPr>
        <w:t>1</w:t>
      </w:r>
      <w:r w:rsidR="00294D57">
        <w:rPr>
          <w:b/>
          <w:u w:val="single"/>
        </w:rPr>
        <w:t>6</w:t>
      </w:r>
      <w:r w:rsidR="00C84700">
        <w:rPr>
          <w:b/>
          <w:u w:val="single"/>
        </w:rPr>
        <w:t xml:space="preserve"> </w:t>
      </w:r>
      <w:r w:rsidRPr="00ED40D4">
        <w:rPr>
          <w:b/>
          <w:u w:val="single"/>
        </w:rPr>
        <w:t>February 2020</w:t>
      </w:r>
      <w:r>
        <w:t xml:space="preserve">. </w:t>
      </w:r>
      <w:r w:rsidR="00ED40D4">
        <w:t xml:space="preserve">Assessment </w:t>
      </w:r>
      <w:r w:rsidR="00D40F98" w:rsidRPr="00637745">
        <w:rPr>
          <w:rFonts w:cs="Arial"/>
          <w:color w:val="000000" w:themeColor="text1"/>
        </w:rPr>
        <w:t>of the applications will be conducted by UNHCR on behalf of th</w:t>
      </w:r>
      <w:bookmarkStart w:id="0" w:name="_GoBack"/>
      <w:bookmarkEnd w:id="0"/>
      <w:r w:rsidR="00D40F98" w:rsidRPr="00637745">
        <w:rPr>
          <w:rFonts w:cs="Arial"/>
          <w:color w:val="000000" w:themeColor="text1"/>
        </w:rPr>
        <w:t xml:space="preserve">e Fuji Optical Co. Ltd. Shortlisted candidates might be invited to an interview and/or a written test. </w:t>
      </w:r>
      <w:r w:rsidR="00112FA3">
        <w:rPr>
          <w:rFonts w:cs="Arial"/>
          <w:color w:val="000000" w:themeColor="text1"/>
        </w:rPr>
        <w:t>Once the evaluation comp</w:t>
      </w:r>
      <w:r w:rsidR="00112FA3" w:rsidRPr="00DE3859">
        <w:rPr>
          <w:rFonts w:cs="Arial"/>
          <w:color w:val="000000" w:themeColor="text1"/>
        </w:rPr>
        <w:t xml:space="preserve">leted and the </w:t>
      </w:r>
      <w:r w:rsidR="00112FA3" w:rsidRPr="00DE3859">
        <w:rPr>
          <w:color w:val="000000" w:themeColor="text1"/>
        </w:rPr>
        <w:t xml:space="preserve">pool of all qualified candidates established, a list of 9 volunteers will submitted to the </w:t>
      </w:r>
      <w:r w:rsidR="00112FA3" w:rsidRPr="00DE3859">
        <w:rPr>
          <w:rFonts w:cs="Arial"/>
          <w:color w:val="000000" w:themeColor="text1"/>
        </w:rPr>
        <w:t>Fuji Optical Co. Ltd. for its approval.</w:t>
      </w:r>
      <w:r w:rsidR="00D40F98" w:rsidRPr="00DE3859">
        <w:rPr>
          <w:rFonts w:cs="Arial"/>
          <w:color w:val="000000" w:themeColor="text1"/>
        </w:rPr>
        <w:t xml:space="preserve"> </w:t>
      </w:r>
    </w:p>
    <w:p w:rsidR="00D40F98" w:rsidRDefault="00637745" w:rsidP="00637745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br w:type="column"/>
      </w:r>
    </w:p>
    <w:p w:rsidR="00637745" w:rsidRPr="0095617F" w:rsidRDefault="00637745" w:rsidP="00637745">
      <w:pPr>
        <w:spacing w:after="0" w:line="240" w:lineRule="auto"/>
        <w:jc w:val="center"/>
        <w:rPr>
          <w:b/>
        </w:rPr>
      </w:pPr>
      <w:r w:rsidRPr="0095617F">
        <w:rPr>
          <w:b/>
        </w:rPr>
        <w:t xml:space="preserve">Application Form </w:t>
      </w:r>
    </w:p>
    <w:p w:rsidR="00637745" w:rsidRDefault="00637745" w:rsidP="00637745">
      <w:pPr>
        <w:spacing w:after="0" w:line="240" w:lineRule="auto"/>
        <w:jc w:val="center"/>
      </w:pPr>
      <w:r w:rsidRPr="00780C59">
        <w:t xml:space="preserve">Volunteer to support Fuji Vision Aid Mission to Azerbaijan (11-18 May 2020) </w:t>
      </w:r>
    </w:p>
    <w:p w:rsidR="00637745" w:rsidRPr="00780C59" w:rsidRDefault="00637745" w:rsidP="00637745">
      <w:pPr>
        <w:spacing w:after="0" w:line="240" w:lineRule="auto"/>
        <w:jc w:val="center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5"/>
        <w:gridCol w:w="3150"/>
        <w:gridCol w:w="6030"/>
      </w:tblGrid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 xml:space="preserve">Name, surname 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 xml:space="preserve">Date of Birth 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 xml:space="preserve">Citizenship 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 xml:space="preserve">Education/Occupation  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>
              <w:t xml:space="preserve">Languages 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>
              <w:t xml:space="preserve">Work experience </w:t>
            </w:r>
            <w:r w:rsidRPr="00780C59">
              <w:t>(</w:t>
            </w:r>
            <w:r>
              <w:t xml:space="preserve">provide details: </w:t>
            </w:r>
            <w:r w:rsidRPr="00780C59">
              <w:t xml:space="preserve">agency, department, position and duration of service) </w:t>
            </w:r>
          </w:p>
        </w:tc>
        <w:tc>
          <w:tcPr>
            <w:tcW w:w="6030" w:type="dxa"/>
          </w:tcPr>
          <w:p w:rsidR="00637745" w:rsidRPr="00194A4B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 xml:space="preserve">Internship or volunteering </w:t>
            </w:r>
            <w:r>
              <w:t xml:space="preserve">engagement </w:t>
            </w:r>
            <w:r w:rsidRPr="00780C59">
              <w:t>(</w:t>
            </w:r>
            <w:r>
              <w:t xml:space="preserve">provide details: </w:t>
            </w:r>
            <w:r w:rsidRPr="00780C59">
              <w:t>agency/project, position and duration of service)</w:t>
            </w:r>
          </w:p>
        </w:tc>
        <w:tc>
          <w:tcPr>
            <w:tcW w:w="6030" w:type="dxa"/>
          </w:tcPr>
          <w:p w:rsidR="00637745" w:rsidRPr="00194A4B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>Which function you would like to take during the next Fuji vision aid mission (one, two or all can be selected</w:t>
            </w:r>
            <w:r>
              <w:t xml:space="preserve"> – please consult with the Terms of Reference</w:t>
            </w:r>
            <w:r w:rsidRPr="00780C59">
              <w:t xml:space="preserve">) 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sym w:font="Symbol" w:char="F080"/>
            </w:r>
            <w:r w:rsidRPr="00780C59">
              <w:t xml:space="preserve"> Interpretation (Japanese-Azerbaijani)</w:t>
            </w:r>
          </w:p>
          <w:p w:rsidR="00637745" w:rsidRPr="00780C59" w:rsidRDefault="00637745" w:rsidP="00650F5F">
            <w:pPr>
              <w:spacing w:before="120" w:after="120"/>
            </w:pPr>
            <w:r w:rsidRPr="00780C59">
              <w:sym w:font="Symbol" w:char="F080"/>
            </w:r>
            <w:r w:rsidRPr="00780C59">
              <w:t xml:space="preserve"> Eye-glasses distribution </w:t>
            </w:r>
          </w:p>
          <w:p w:rsidR="00637745" w:rsidRPr="00780C59" w:rsidRDefault="00637745" w:rsidP="00650F5F">
            <w:pPr>
              <w:spacing w:before="120" w:after="120"/>
            </w:pPr>
            <w:r w:rsidRPr="00780C59">
              <w:sym w:font="Symbol" w:char="F080"/>
            </w:r>
            <w:r w:rsidRPr="00780C59">
              <w:t xml:space="preserve"> Registration and queue control </w:t>
            </w: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>Home address (current residence)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>Mobile phone</w:t>
            </w:r>
            <w:r>
              <w:t xml:space="preserve"> number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</w:p>
          <w:p w:rsidR="00637745" w:rsidRPr="00780C59" w:rsidRDefault="00637745" w:rsidP="00650F5F">
            <w:pPr>
              <w:spacing w:before="120" w:after="120"/>
            </w:pPr>
          </w:p>
        </w:tc>
      </w:tr>
      <w:tr w:rsidR="00637745" w:rsidRPr="00780C59" w:rsidTr="00DA7E60">
        <w:tc>
          <w:tcPr>
            <w:tcW w:w="445" w:type="dxa"/>
          </w:tcPr>
          <w:p w:rsidR="00637745" w:rsidRPr="00780C59" w:rsidRDefault="00637745" w:rsidP="00650F5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</w:pPr>
          </w:p>
        </w:tc>
        <w:tc>
          <w:tcPr>
            <w:tcW w:w="3150" w:type="dxa"/>
          </w:tcPr>
          <w:p w:rsidR="00637745" w:rsidRPr="00780C59" w:rsidRDefault="00637745" w:rsidP="00650F5F">
            <w:pPr>
              <w:spacing w:before="120" w:after="120"/>
            </w:pPr>
            <w:r w:rsidRPr="00780C59">
              <w:t>E-mail address</w:t>
            </w:r>
          </w:p>
        </w:tc>
        <w:tc>
          <w:tcPr>
            <w:tcW w:w="6030" w:type="dxa"/>
          </w:tcPr>
          <w:p w:rsidR="00637745" w:rsidRPr="00780C59" w:rsidRDefault="00637745" w:rsidP="00650F5F">
            <w:pPr>
              <w:spacing w:before="120" w:after="120"/>
            </w:pPr>
          </w:p>
        </w:tc>
      </w:tr>
    </w:tbl>
    <w:p w:rsidR="00637745" w:rsidRPr="00780C59" w:rsidRDefault="00637745" w:rsidP="00637745">
      <w:pPr>
        <w:spacing w:after="0" w:line="240" w:lineRule="auto"/>
      </w:pPr>
    </w:p>
    <w:p w:rsidR="00637745" w:rsidRDefault="00637745" w:rsidP="00637745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37745" w:rsidRPr="00637745" w:rsidRDefault="00637745" w:rsidP="00637745">
      <w:pPr>
        <w:pStyle w:val="NormalWeb"/>
        <w:spacing w:before="12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sectPr w:rsidR="00637745" w:rsidRPr="00637745" w:rsidSect="00D40F98">
      <w:headerReference w:type="default" r:id="rId9"/>
      <w:pgSz w:w="11906" w:h="16838"/>
      <w:pgMar w:top="1440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5D" w:rsidRDefault="006D0E5D" w:rsidP="004D206F">
      <w:pPr>
        <w:spacing w:after="0" w:line="240" w:lineRule="auto"/>
      </w:pPr>
      <w:r>
        <w:separator/>
      </w:r>
    </w:p>
  </w:endnote>
  <w:endnote w:type="continuationSeparator" w:id="0">
    <w:p w:rsidR="006D0E5D" w:rsidRDefault="006D0E5D" w:rsidP="004D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5D" w:rsidRDefault="006D0E5D" w:rsidP="004D206F">
      <w:pPr>
        <w:spacing w:after="0" w:line="240" w:lineRule="auto"/>
      </w:pPr>
      <w:r>
        <w:separator/>
      </w:r>
    </w:p>
  </w:footnote>
  <w:footnote w:type="continuationSeparator" w:id="0">
    <w:p w:rsidR="006D0E5D" w:rsidRDefault="006D0E5D" w:rsidP="004D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BA" w:rsidRDefault="007C399E" w:rsidP="00FE2383">
    <w:pPr>
      <w:pStyle w:val="Header"/>
      <w:rPr>
        <w:rFonts w:ascii="Arial" w:hAnsi="Arial" w:cs="Arial"/>
        <w:b/>
        <w:noProof/>
        <w:sz w:val="18"/>
        <w:szCs w:val="18"/>
        <w:lang w:eastAsia="en-GB"/>
      </w:rPr>
    </w:pPr>
    <w:r>
      <w:rPr>
        <w:rFonts w:ascii="Arial" w:hAnsi="Arial" w:cs="Arial"/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4533363</wp:posOffset>
              </wp:positionH>
              <wp:positionV relativeFrom="paragraph">
                <wp:posOffset>-12933</wp:posOffset>
              </wp:positionV>
              <wp:extent cx="972355" cy="637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355" cy="637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99E" w:rsidRDefault="007C399E">
                          <w:r w:rsidRPr="001B5E7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4AB540B" wp14:editId="2BC3EF02">
                                <wp:extent cx="830687" cy="549891"/>
                                <wp:effectExtent l="0" t="0" r="7620" b="317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9863" cy="569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6.95pt;margin-top:-1pt;width:76.55pt;height:5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" fillcolor="white [3201]" stroked="f" strokeweight=".5pt">
              <v:textbox>
                <w:txbxContent>
                  <w:p w:rsidR="007C399E" w:rsidRDefault="007C399E">
                    <w:r w:rsidRPr="001B5E7C">
                      <w:rPr>
                        <w:noProof/>
                        <w:lang w:eastAsia="en-GB"/>
                      </w:rPr>
                      <w:drawing>
                        <wp:inline distT="0" distB="0" distL="0" distR="0" wp14:anchorId="34AB540B" wp14:editId="2BC3EF02">
                          <wp:extent cx="830687" cy="549891"/>
                          <wp:effectExtent l="0" t="0" r="7620" b="317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9863" cy="569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A6DBA" w:rsidRDefault="00FA6DBA" w:rsidP="00FE2383">
    <w:pPr>
      <w:pStyle w:val="Header"/>
      <w:rPr>
        <w:rFonts w:ascii="Arial" w:hAnsi="Arial" w:cs="Arial"/>
        <w:b/>
        <w:noProof/>
        <w:sz w:val="18"/>
        <w:szCs w:val="18"/>
        <w:lang w:eastAsia="en-GB"/>
      </w:rPr>
    </w:pPr>
    <w:r>
      <w:rPr>
        <w:noProof/>
        <w:lang w:eastAsia="en-GB"/>
      </w:rPr>
      <w:drawing>
        <wp:inline distT="0" distB="0" distL="0" distR="0" wp14:anchorId="7943E491" wp14:editId="3CA4836A">
          <wp:extent cx="2567575" cy="380391"/>
          <wp:effectExtent l="0" t="0" r="444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offical-logo-RGB-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71" cy="38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06F" w:rsidRDefault="004D206F" w:rsidP="00FE2383">
    <w:pPr>
      <w:pStyle w:val="Header"/>
      <w:rPr>
        <w:rFonts w:ascii="Arial" w:hAnsi="Arial" w:cs="Arial"/>
        <w:b/>
      </w:rPr>
    </w:pPr>
  </w:p>
  <w:p w:rsidR="00AC3B9F" w:rsidRPr="00FE2383" w:rsidRDefault="00AC3B9F" w:rsidP="00FE2383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AA2"/>
    <w:multiLevelType w:val="multilevel"/>
    <w:tmpl w:val="233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007D"/>
    <w:multiLevelType w:val="multilevel"/>
    <w:tmpl w:val="D496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25E2B"/>
    <w:multiLevelType w:val="multilevel"/>
    <w:tmpl w:val="0409001D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3" w15:restartNumberingAfterBreak="0">
    <w:nsid w:val="3D680C46"/>
    <w:multiLevelType w:val="hybridMultilevel"/>
    <w:tmpl w:val="86C6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CD5"/>
    <w:multiLevelType w:val="multilevel"/>
    <w:tmpl w:val="A6D0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87D0A"/>
    <w:multiLevelType w:val="hybridMultilevel"/>
    <w:tmpl w:val="5E02F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C00A1"/>
    <w:multiLevelType w:val="multilevel"/>
    <w:tmpl w:val="804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309B5"/>
    <w:multiLevelType w:val="multilevel"/>
    <w:tmpl w:val="0409001D"/>
    <w:styleLink w:val="List-Bullets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5"/>
    <w:rsid w:val="00025512"/>
    <w:rsid w:val="00041C5D"/>
    <w:rsid w:val="00073803"/>
    <w:rsid w:val="00074F6A"/>
    <w:rsid w:val="00077F98"/>
    <w:rsid w:val="00085195"/>
    <w:rsid w:val="000A0163"/>
    <w:rsid w:val="000A7427"/>
    <w:rsid w:val="000B23F0"/>
    <w:rsid w:val="000B43CE"/>
    <w:rsid w:val="000B4B3B"/>
    <w:rsid w:val="000B7DFA"/>
    <w:rsid w:val="000C74A7"/>
    <w:rsid w:val="00112FA3"/>
    <w:rsid w:val="00120C2B"/>
    <w:rsid w:val="00126A74"/>
    <w:rsid w:val="00156DD9"/>
    <w:rsid w:val="00183E79"/>
    <w:rsid w:val="00196E99"/>
    <w:rsid w:val="001C5142"/>
    <w:rsid w:val="001D4824"/>
    <w:rsid w:val="001D4A58"/>
    <w:rsid w:val="001E6AD1"/>
    <w:rsid w:val="00252B32"/>
    <w:rsid w:val="00252C87"/>
    <w:rsid w:val="00257390"/>
    <w:rsid w:val="00263E3C"/>
    <w:rsid w:val="00284BA6"/>
    <w:rsid w:val="00294D57"/>
    <w:rsid w:val="002958E7"/>
    <w:rsid w:val="002A54E8"/>
    <w:rsid w:val="002E67CD"/>
    <w:rsid w:val="002F451B"/>
    <w:rsid w:val="00306F53"/>
    <w:rsid w:val="00310673"/>
    <w:rsid w:val="00312F6A"/>
    <w:rsid w:val="00387EBB"/>
    <w:rsid w:val="003D6468"/>
    <w:rsid w:val="004A2420"/>
    <w:rsid w:val="004B1EEB"/>
    <w:rsid w:val="004B23CE"/>
    <w:rsid w:val="004C1666"/>
    <w:rsid w:val="004D206F"/>
    <w:rsid w:val="004D7EFC"/>
    <w:rsid w:val="00571052"/>
    <w:rsid w:val="005D17B8"/>
    <w:rsid w:val="005D2A06"/>
    <w:rsid w:val="0062137E"/>
    <w:rsid w:val="00637745"/>
    <w:rsid w:val="00650F5F"/>
    <w:rsid w:val="0066108A"/>
    <w:rsid w:val="00675BF4"/>
    <w:rsid w:val="006C2D23"/>
    <w:rsid w:val="006D0E5D"/>
    <w:rsid w:val="006D547E"/>
    <w:rsid w:val="00712925"/>
    <w:rsid w:val="00741931"/>
    <w:rsid w:val="00760727"/>
    <w:rsid w:val="00762A55"/>
    <w:rsid w:val="00787975"/>
    <w:rsid w:val="007A7892"/>
    <w:rsid w:val="007C399E"/>
    <w:rsid w:val="007F627A"/>
    <w:rsid w:val="00844BB7"/>
    <w:rsid w:val="008654FC"/>
    <w:rsid w:val="008D7B4F"/>
    <w:rsid w:val="008E5886"/>
    <w:rsid w:val="00916691"/>
    <w:rsid w:val="00934365"/>
    <w:rsid w:val="0094519E"/>
    <w:rsid w:val="0095617F"/>
    <w:rsid w:val="0097391C"/>
    <w:rsid w:val="00977F7A"/>
    <w:rsid w:val="0099265B"/>
    <w:rsid w:val="009C0BA7"/>
    <w:rsid w:val="009C2000"/>
    <w:rsid w:val="009D5BA2"/>
    <w:rsid w:val="00A232CB"/>
    <w:rsid w:val="00AB500B"/>
    <w:rsid w:val="00AC3B9F"/>
    <w:rsid w:val="00AD4BD3"/>
    <w:rsid w:val="00B1777B"/>
    <w:rsid w:val="00B40467"/>
    <w:rsid w:val="00B62207"/>
    <w:rsid w:val="00B64E39"/>
    <w:rsid w:val="00BA61C0"/>
    <w:rsid w:val="00BC2453"/>
    <w:rsid w:val="00BC24FD"/>
    <w:rsid w:val="00BC5ED0"/>
    <w:rsid w:val="00BD4D41"/>
    <w:rsid w:val="00BE12D6"/>
    <w:rsid w:val="00BF273F"/>
    <w:rsid w:val="00C56270"/>
    <w:rsid w:val="00C63C6C"/>
    <w:rsid w:val="00C67D04"/>
    <w:rsid w:val="00C84700"/>
    <w:rsid w:val="00C86C68"/>
    <w:rsid w:val="00CA6BF7"/>
    <w:rsid w:val="00CC7FE8"/>
    <w:rsid w:val="00D03556"/>
    <w:rsid w:val="00D245AC"/>
    <w:rsid w:val="00D359E6"/>
    <w:rsid w:val="00D40F98"/>
    <w:rsid w:val="00D653ED"/>
    <w:rsid w:val="00D72AD9"/>
    <w:rsid w:val="00DA406B"/>
    <w:rsid w:val="00DB36AC"/>
    <w:rsid w:val="00DC7DDA"/>
    <w:rsid w:val="00DE3859"/>
    <w:rsid w:val="00DE4C2D"/>
    <w:rsid w:val="00DE7393"/>
    <w:rsid w:val="00E25514"/>
    <w:rsid w:val="00E6434E"/>
    <w:rsid w:val="00EB7AEF"/>
    <w:rsid w:val="00ED40D4"/>
    <w:rsid w:val="00EE3682"/>
    <w:rsid w:val="00F24DCD"/>
    <w:rsid w:val="00F41D21"/>
    <w:rsid w:val="00F61DE6"/>
    <w:rsid w:val="00F7069B"/>
    <w:rsid w:val="00F831D7"/>
    <w:rsid w:val="00FA6DBA"/>
    <w:rsid w:val="00FE2383"/>
    <w:rsid w:val="00FE3907"/>
    <w:rsid w:val="00FF5989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12160-1E26-4F06-8708-35FC191F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06F"/>
  </w:style>
  <w:style w:type="paragraph" w:styleId="Footer">
    <w:name w:val="footer"/>
    <w:basedOn w:val="Normal"/>
    <w:link w:val="FooterChar"/>
    <w:uiPriority w:val="99"/>
    <w:unhideWhenUsed/>
    <w:rsid w:val="004D2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6F"/>
  </w:style>
  <w:style w:type="paragraph" w:styleId="BalloonText">
    <w:name w:val="Balloon Text"/>
    <w:basedOn w:val="Normal"/>
    <w:link w:val="BalloonTextChar"/>
    <w:uiPriority w:val="99"/>
    <w:semiHidden/>
    <w:unhideWhenUsed/>
    <w:rsid w:val="001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2383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4F6A"/>
    <w:rPr>
      <w:color w:val="0000FF"/>
      <w:u w:val="single"/>
    </w:rPr>
  </w:style>
  <w:style w:type="paragraph" w:customStyle="1" w:styleId="CharChar2">
    <w:name w:val="Char Char2"/>
    <w:basedOn w:val="Normal"/>
    <w:rsid w:val="008E5886"/>
    <w:pPr>
      <w:spacing w:line="240" w:lineRule="exact"/>
    </w:pPr>
    <w:rPr>
      <w:rFonts w:ascii="Verdana" w:eastAsia="Calibri" w:hAnsi="Verdana" w:cs="Verdana"/>
      <w:sz w:val="20"/>
      <w:szCs w:val="20"/>
      <w:lang w:val="sk-SK"/>
    </w:rPr>
  </w:style>
  <w:style w:type="table" w:styleId="TableGrid">
    <w:name w:val="Table Grid"/>
    <w:basedOn w:val="TableNormal"/>
    <w:uiPriority w:val="39"/>
    <w:rsid w:val="00CA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-Bullets">
    <w:name w:val="List-Bullets"/>
    <w:uiPriority w:val="99"/>
    <w:rsid w:val="00637745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E3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ba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07FD-CB1F-43EF-9FD1-18AEFD48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Varga</dc:creator>
  <cp:keywords/>
  <dc:description/>
  <cp:lastModifiedBy>Elsevar Aghayev</cp:lastModifiedBy>
  <cp:revision>7</cp:revision>
  <dcterms:created xsi:type="dcterms:W3CDTF">2020-01-31T07:14:00Z</dcterms:created>
  <dcterms:modified xsi:type="dcterms:W3CDTF">2020-02-03T13:30:00Z</dcterms:modified>
</cp:coreProperties>
</file>